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6BF7" w14:textId="77777777" w:rsidR="00717339" w:rsidRPr="00027FD7" w:rsidRDefault="00717339" w:rsidP="00717339">
      <w:pPr>
        <w:rPr>
          <w:rFonts w:cstheme="minorHAnsi"/>
          <w:b/>
          <w:sz w:val="36"/>
          <w:szCs w:val="36"/>
        </w:rPr>
      </w:pPr>
      <w:r w:rsidRPr="00027FD7">
        <w:rPr>
          <w:rFonts w:cstheme="minorHAnsi"/>
          <w:b/>
          <w:sz w:val="36"/>
          <w:szCs w:val="36"/>
        </w:rPr>
        <w:t>Um bocadinho mais: o sujeito e a tela</w:t>
      </w:r>
    </w:p>
    <w:p w14:paraId="6460DE49" w14:textId="77777777" w:rsidR="00717339" w:rsidRPr="00027FD7" w:rsidRDefault="00717339" w:rsidP="00717339">
      <w:pPr>
        <w:rPr>
          <w:rFonts w:cstheme="minorHAnsi"/>
          <w:b/>
          <w:i/>
          <w:sz w:val="28"/>
          <w:szCs w:val="28"/>
        </w:rPr>
      </w:pPr>
      <w:r w:rsidRPr="00027FD7">
        <w:rPr>
          <w:rFonts w:cstheme="minorHAnsi"/>
          <w:b/>
          <w:i/>
          <w:sz w:val="28"/>
          <w:szCs w:val="28"/>
        </w:rPr>
        <w:t>Fábio Sanchez</w:t>
      </w:r>
    </w:p>
    <w:p w14:paraId="733C8496" w14:textId="77777777" w:rsidR="00717339" w:rsidRDefault="00DC6D31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A uso de aparatos</w:t>
      </w:r>
      <w:r w:rsidR="00717339" w:rsidRPr="00C27048">
        <w:rPr>
          <w:rFonts w:cstheme="minorHAnsi"/>
          <w:sz w:val="24"/>
          <w:szCs w:val="24"/>
        </w:rPr>
        <w:t xml:space="preserve"> com tela, </w:t>
      </w:r>
      <w:r w:rsidR="00717339">
        <w:rPr>
          <w:rFonts w:cstheme="minorHAnsi"/>
          <w:sz w:val="24"/>
          <w:szCs w:val="24"/>
        </w:rPr>
        <w:t>integrado</w:t>
      </w:r>
      <w:r>
        <w:rPr>
          <w:rFonts w:cstheme="minorHAnsi"/>
          <w:sz w:val="24"/>
          <w:szCs w:val="24"/>
        </w:rPr>
        <w:t>s</w:t>
      </w:r>
      <w:r w:rsidR="00717339">
        <w:rPr>
          <w:rFonts w:cstheme="minorHAnsi"/>
          <w:sz w:val="24"/>
          <w:szCs w:val="24"/>
        </w:rPr>
        <w:t xml:space="preserve"> à mão </w:t>
      </w:r>
      <w:r w:rsidR="00717339" w:rsidRPr="00C27048">
        <w:rPr>
          <w:rFonts w:cstheme="minorHAnsi"/>
          <w:sz w:val="24"/>
          <w:szCs w:val="24"/>
        </w:rPr>
        <w:t>composto</w:t>
      </w:r>
      <w:r>
        <w:rPr>
          <w:rFonts w:cstheme="minorHAnsi"/>
          <w:sz w:val="24"/>
          <w:szCs w:val="24"/>
        </w:rPr>
        <w:t>s</w:t>
      </w:r>
      <w:r w:rsidR="00717339" w:rsidRPr="00C27048">
        <w:rPr>
          <w:rFonts w:cstheme="minorHAnsi"/>
          <w:sz w:val="24"/>
          <w:szCs w:val="24"/>
        </w:rPr>
        <w:t xml:space="preserve"> de </w:t>
      </w:r>
      <w:r w:rsidR="00717339">
        <w:rPr>
          <w:rFonts w:cstheme="minorHAnsi"/>
          <w:sz w:val="24"/>
          <w:szCs w:val="24"/>
        </w:rPr>
        <w:t>vidro e elementos eletrônicos e óticos</w:t>
      </w:r>
      <w:r w:rsidR="00717339" w:rsidRPr="00C27048">
        <w:rPr>
          <w:rFonts w:cstheme="minorHAnsi"/>
          <w:sz w:val="24"/>
          <w:szCs w:val="24"/>
        </w:rPr>
        <w:t>, se intensifica a ponto de alguns pensadores considerarem o ser humano atual uma espécie de ciborgue</w:t>
      </w:r>
      <w:r w:rsidR="00717339">
        <w:rPr>
          <w:rFonts w:cstheme="minorHAnsi"/>
          <w:sz w:val="24"/>
          <w:szCs w:val="24"/>
        </w:rPr>
        <w:t xml:space="preserve"> </w:t>
      </w:r>
      <w:proofErr w:type="spellStart"/>
      <w:r w:rsidR="00717339" w:rsidRPr="00C413D5">
        <w:rPr>
          <w:rFonts w:cstheme="minorHAnsi"/>
          <w:i/>
          <w:sz w:val="24"/>
          <w:szCs w:val="24"/>
        </w:rPr>
        <w:t>lowtec</w:t>
      </w:r>
      <w:proofErr w:type="spellEnd"/>
      <w:r w:rsidR="00717339" w:rsidRPr="00C27048">
        <w:rPr>
          <w:rFonts w:cstheme="minorHAnsi"/>
          <w:sz w:val="24"/>
          <w:szCs w:val="24"/>
        </w:rPr>
        <w:t xml:space="preserve"> (</w:t>
      </w:r>
      <w:r w:rsidR="00717339">
        <w:rPr>
          <w:rFonts w:cstheme="minorHAnsi"/>
          <w:sz w:val="24"/>
          <w:szCs w:val="24"/>
        </w:rPr>
        <w:t>CASE, 20</w:t>
      </w:r>
      <w:r w:rsidR="00717339" w:rsidRPr="00C27048">
        <w:rPr>
          <w:rFonts w:cstheme="minorHAnsi"/>
          <w:sz w:val="24"/>
          <w:szCs w:val="24"/>
        </w:rPr>
        <w:t>1</w:t>
      </w:r>
      <w:r w:rsidR="00717339">
        <w:rPr>
          <w:rFonts w:cstheme="minorHAnsi"/>
          <w:sz w:val="24"/>
          <w:szCs w:val="24"/>
        </w:rPr>
        <w:t>2</w:t>
      </w:r>
      <w:r w:rsidR="00717339" w:rsidRPr="00C27048">
        <w:rPr>
          <w:rFonts w:cstheme="minorHAnsi"/>
          <w:sz w:val="24"/>
          <w:szCs w:val="24"/>
        </w:rPr>
        <w:t>)</w:t>
      </w:r>
      <w:r w:rsidR="00717339">
        <w:rPr>
          <w:rFonts w:cstheme="minorHAnsi"/>
          <w:sz w:val="24"/>
          <w:szCs w:val="24"/>
        </w:rPr>
        <w:t>, ou verem a evolução tecnológica como um prolongamento da própria evolução biológica do homem (SFEZ, pg. 291)</w:t>
      </w:r>
      <w:r w:rsidR="00717339" w:rsidRPr="00C27048">
        <w:rPr>
          <w:rFonts w:cstheme="minorHAnsi"/>
          <w:sz w:val="24"/>
          <w:szCs w:val="24"/>
        </w:rPr>
        <w:t xml:space="preserve">. </w:t>
      </w:r>
      <w:r w:rsidR="00717339">
        <w:rPr>
          <w:rFonts w:cstheme="minorHAnsi"/>
          <w:sz w:val="24"/>
          <w:szCs w:val="24"/>
        </w:rPr>
        <w:t xml:space="preserve">O uso de algumas telas, como a do telefone celular, já justifica a criação de nova ontologia e de debates acalorados no ambiente filosófico, em busca por exemplo do conceito contemporâneo de verdade (FERRARIS, 2015). </w:t>
      </w:r>
      <w:r w:rsidR="00717339" w:rsidRPr="00C27048">
        <w:rPr>
          <w:rFonts w:cstheme="minorHAnsi"/>
          <w:sz w:val="24"/>
          <w:szCs w:val="24"/>
        </w:rPr>
        <w:t xml:space="preserve">A máquina integra e prolonga o corpo, apoia </w:t>
      </w:r>
      <w:r w:rsidR="00717339">
        <w:rPr>
          <w:rFonts w:cstheme="minorHAnsi"/>
          <w:sz w:val="24"/>
          <w:szCs w:val="24"/>
        </w:rPr>
        <w:t>ou rechaça</w:t>
      </w:r>
      <w:r w:rsidR="00717339" w:rsidRPr="00C27048">
        <w:rPr>
          <w:rFonts w:cstheme="minorHAnsi"/>
          <w:sz w:val="24"/>
          <w:szCs w:val="24"/>
        </w:rPr>
        <w:t xml:space="preserve"> a tomada de decisões e confere virtudes ao dono, conforme seu tamanho e outros critérios que definam poder. </w:t>
      </w:r>
    </w:p>
    <w:p w14:paraId="73B7682C" w14:textId="77777777" w:rsidR="00717339" w:rsidRDefault="00717339" w:rsidP="00717339">
      <w:pPr>
        <w:rPr>
          <w:rFonts w:cstheme="minorHAnsi"/>
          <w:sz w:val="24"/>
          <w:szCs w:val="24"/>
        </w:rPr>
      </w:pPr>
      <w:r w:rsidRPr="00C27048">
        <w:rPr>
          <w:rFonts w:cstheme="minorHAnsi"/>
          <w:sz w:val="24"/>
          <w:szCs w:val="24"/>
        </w:rPr>
        <w:t>A relação com esse aparato técnico tem um propósito central: comunicar-se com outros</w:t>
      </w:r>
      <w:r>
        <w:rPr>
          <w:rFonts w:cstheme="minorHAnsi"/>
          <w:sz w:val="24"/>
          <w:szCs w:val="24"/>
        </w:rPr>
        <w:t>, expor-se a um certo olhar e ver o que os outros expõem, característica que também nos dá a impressão de estarmos falando de um ambiente contemporâneo</w:t>
      </w:r>
      <w:r w:rsidRPr="00C2704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E245F96" w14:textId="77777777" w:rsidR="00717339" w:rsidRDefault="00717339" w:rsidP="007173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contexto, a provocação do grupo de pesquisa Sujeito &lt;&gt; Contemporâneo, do Fórum do Campo Lacaniano de São Paulo,</w:t>
      </w:r>
      <w:r w:rsidRPr="00C270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para que se foque a relação da psicanálise com os dias correntes, encontra obrigatoriamente </w:t>
      </w:r>
      <w:r w:rsidRPr="00C27048">
        <w:rPr>
          <w:rFonts w:cstheme="minorHAnsi"/>
          <w:sz w:val="24"/>
          <w:szCs w:val="24"/>
        </w:rPr>
        <w:t xml:space="preserve">a relação do sujeito com um corpo ausente, por meio da tela. Pensamento que logo chama outro para junto de si: haveria uma clínica </w:t>
      </w:r>
      <w:r>
        <w:rPr>
          <w:rFonts w:cstheme="minorHAnsi"/>
          <w:sz w:val="24"/>
          <w:szCs w:val="24"/>
        </w:rPr>
        <w:t xml:space="preserve">para </w:t>
      </w:r>
      <w:r w:rsidRPr="00C27048">
        <w:rPr>
          <w:rFonts w:cstheme="minorHAnsi"/>
          <w:sz w:val="24"/>
          <w:szCs w:val="24"/>
        </w:rPr>
        <w:t xml:space="preserve">a técnica, ou </w:t>
      </w:r>
      <w:r>
        <w:rPr>
          <w:rFonts w:cstheme="minorHAnsi"/>
          <w:sz w:val="24"/>
          <w:szCs w:val="24"/>
        </w:rPr>
        <w:t>para</w:t>
      </w:r>
      <w:r w:rsidRPr="00C27048">
        <w:rPr>
          <w:rFonts w:cstheme="minorHAnsi"/>
          <w:sz w:val="24"/>
          <w:szCs w:val="24"/>
        </w:rPr>
        <w:t xml:space="preserve"> seu mais recente avatar, a tecnologia?</w:t>
      </w:r>
    </w:p>
    <w:p w14:paraId="3473E438" w14:textId="77777777" w:rsidR="00717339" w:rsidRDefault="00717339" w:rsidP="007173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Há muitas formas de abordar essa relação no conteúdo lacaniano. Escolho uma abordagem que seleciona e exclui, mas que acredito pode ajudar a pensar paradigmas da relação homem/técnica. </w:t>
      </w:r>
    </w:p>
    <w:p w14:paraId="5D07134E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Está claro que a tela afeta o estatuto do olhar do outro, põe-se em algum lugar nesse circuito, e com isso afeta a relação entre público e privado, coletivo e individual. Ela s</w:t>
      </w:r>
      <w:r w:rsidRPr="00C27048">
        <w:rPr>
          <w:rStyle w:val="textexposedshow"/>
          <w:rFonts w:cstheme="minorHAnsi"/>
          <w:sz w:val="24"/>
          <w:szCs w:val="24"/>
          <w:shd w:val="clear" w:color="auto" w:fill="FFFFFF"/>
        </w:rPr>
        <w:t>ubstitui o olhar do outro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quando oferece observação sobre a produção textual, de imagens, a interação do sujeito com a escolha de ícones (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emojis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smileys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emoticons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etc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). É um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proto-olhar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que curte, comenta e manipula algoritmos interessadíssimos em observar as preferências do sujeito. Porém, submete-se ao tempo imposto pelo sujeito, que liga e desliga, responde quando quer, autoriza ou não a interpelação. Portanto trata-se de um olhar menos poderoso do que o do outro ausente. Este faz-se apenas representar.</w:t>
      </w:r>
    </w:p>
    <w:p w14:paraId="737C84CE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Mas também é um olhar editado pelo sujeito, que escolhe sua cor, tipologia, enquadramento, regras de acesso, sons acoplados, volume, design etc. Não deixa de</w:t>
      </w:r>
      <w:r w:rsidRPr="00C2704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prod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uzir uma imagem especular do eu. A tela representa</w:t>
      </w:r>
      <w:r w:rsidRPr="00C2704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portanto, paradoxalmente, uma ausência que também é um significante constitutivo.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</w:p>
    <w:p w14:paraId="0AFFBB24" w14:textId="77777777" w:rsidR="00717339" w:rsidRPr="0055531E" w:rsidRDefault="00717339" w:rsidP="00717339">
      <w:pPr>
        <w:rPr>
          <w:rStyle w:val="textexposedshow"/>
          <w:rFonts w:cstheme="minorHAnsi"/>
          <w:b/>
          <w:sz w:val="24"/>
          <w:szCs w:val="24"/>
          <w:shd w:val="clear" w:color="auto" w:fill="FFFFFF"/>
        </w:rPr>
      </w:pPr>
      <w:r w:rsidRPr="0055531E">
        <w:rPr>
          <w:rStyle w:val="textexposedshow"/>
          <w:rFonts w:cstheme="minorHAnsi"/>
          <w:b/>
          <w:sz w:val="24"/>
          <w:szCs w:val="24"/>
          <w:shd w:val="clear" w:color="auto" w:fill="FFFFFF"/>
        </w:rPr>
        <w:t>Temporalidade da tela</w:t>
      </w:r>
    </w:p>
    <w:p w14:paraId="0FBB0190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É importante notar que esse olhar da tela, presente/ausente, manipulado pelo sujeito, é destituído do poder de causar vergonha no sentido apontado por Lacan em “O avesso da psicanálise”, ou seja, não é esse aparato, em si, que causa a principal característica da vergonha lacaniana, “a angústia de se ser excluído” (MIJOLLA, pg. 1.949). Ela não excluirá o sujeito e não retirará seu amor ou interesse pelo sujeito. Apesar disso, todas as variações entre o que se mostra e o que se esconde, suas muitas possibilidades de escolha e seleção, estão mediadas pela temporalidade peculiar da tela, onipresente, constante, coadjuvante em inúmeras atividades cotidianas, ou simplesmente silenciada quando assim o deseja o sujeito.</w:t>
      </w:r>
    </w:p>
    <w:p w14:paraId="1437AE9B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A professora da UFRJ focada na interação homem/tecnologia</w:t>
      </w:r>
      <w:r>
        <w:rPr>
          <w:rFonts w:cstheme="minorHAnsi"/>
          <w:sz w:val="24"/>
          <w:szCs w:val="24"/>
        </w:rPr>
        <w:t xml:space="preserve"> Fernanda Bruno </w:t>
      </w:r>
      <w:r>
        <w:rPr>
          <w:rFonts w:cstheme="minorHAnsi"/>
          <w:szCs w:val="24"/>
        </w:rPr>
        <w:t xml:space="preserve">relata 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em sequência </w:t>
      </w:r>
      <w:proofErr w:type="gram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histórica  uma</w:t>
      </w:r>
      <w:proofErr w:type="gram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sucessão de deslocamentos no olhar público sobre o sujeito, como a mudança que houve na modernidade com a transformação do olhar republicano a que se referiu Rousseau (uma exposição pública virtuosa, que julgaria as “manobras obscuras do vício” dos indivíduos), para o olhar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superegóico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repressor e que encarna a própria lei, ou ainda o olhar repressivo de Foucault. São deslocamentos espetaculares. Este olhar público, por sua vez, na pós-modernidade da tecnologia contemporânea, </w:t>
      </w:r>
      <w:r w:rsidRPr="00717339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deslocou-se ainda mais para um ambiente não mais necessariamente regido pelo superego, mas sim pelo ideal de eu. 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“Passamos do Édipo ao Narciso?”, pergunta retoricamente Bruno (BRUNO, 2013, pg. 79).</w:t>
      </w:r>
    </w:p>
    <w:p w14:paraId="37323A1D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Um exemplo desse deslocamento seria o que vai da interdição para a performance, ou seja, a mudança do olhar que impõe culpa e conflito para aquele que exige sucesso pessoal, superação de </w:t>
      </w:r>
      <w:proofErr w:type="gram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limites  e</w:t>
      </w:r>
      <w:proofErr w:type="gram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autorrealização, como aconteceu não só no mundo corporativo e editorial, com a proliferação de manuais de autoajuda e autoestima, mas na publicidade, no jornalismo, nas relações pessoais etc. </w:t>
      </w:r>
    </w:p>
    <w:p w14:paraId="1CEC4128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O padrão normativo das identidades contemporâneas parece abandonar os modelos institucionais que se apegam à norma (o bom aluno, o bom trabalhador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etc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) em favor dos sujeitos inovadores, intrépidos, desafiadores, com muitos amigos nas redes sociais, portadores de telas.  </w:t>
      </w:r>
    </w:p>
    <w:p w14:paraId="2E8C4E1C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Essa análise confirma o “esquema óptico” desenvolvido por Lacan em seu primeiro </w:t>
      </w:r>
      <w:proofErr w:type="gram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seminário,  “</w:t>
      </w:r>
      <w:proofErr w:type="gramEnd"/>
      <w:r>
        <w:rPr>
          <w:rStyle w:val="textexposedshow"/>
          <w:rFonts w:cstheme="minorHAnsi"/>
          <w:sz w:val="24"/>
          <w:szCs w:val="24"/>
          <w:shd w:val="clear" w:color="auto" w:fill="FFFFFF"/>
        </w:rPr>
        <w:t>Os escritos técnicos de Freud”, no qual distingue o “eu ideal” (identificação com uma função) do “ideal de eu” (identificação com uma imagem).</w:t>
      </w:r>
    </w:p>
    <w:p w14:paraId="579D52F3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Seria esse olhar, regido pelo ideal de eu, que surge da tela, um local privilegiado para exposição da vida privada. É este olhar que medeia as relações a ponto de se tornar determinante e interferir com autoridade executiva nas relações humanas mais simples. É concedido à tela poder cada vez mais amplo, porém com uma inscrição diferente do olhar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superegóico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descrito por Freud.</w:t>
      </w:r>
    </w:p>
    <w:p w14:paraId="498418C2" w14:textId="77777777" w:rsidR="00717339" w:rsidRPr="00A015FB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Note-se, por exemplo, as telas que são dotadas de detecção facial, com ordem para controlar situações inconvenientes. As câmeras fotográficas digitais Sony DSC-T70 e DSC-T200, por exemplo, só fotografam quem estiver sorrindo (o que também é emblemático do superego focado no gozo, tese de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Zizek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e outros). Ou ainda a última versão do iPhone, o X, que tem a opção de só ligar diante do rosto do dono.</w:t>
      </w:r>
    </w:p>
    <w:p w14:paraId="6BB69434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Vamos ao que diz Lacan em </w:t>
      </w:r>
      <w:r w:rsidRPr="008976EC">
        <w:rPr>
          <w:rStyle w:val="textexposedshow"/>
          <w:rFonts w:cstheme="minorHAnsi"/>
          <w:i/>
          <w:sz w:val="24"/>
          <w:szCs w:val="24"/>
          <w:shd w:val="clear" w:color="auto" w:fill="FFFFFF"/>
        </w:rPr>
        <w:t>Os escritos técnicos de Freud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: “O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IchIdeal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o ideal do eu, é o outro como falante, o outro na medida em que mantém comigo uma relação simbólica, sublimada, a qual, em nosso manejo dinâmico, é ao mesmo tempo igual e diferente da libido imaginária”.        </w:t>
      </w:r>
    </w:p>
    <w:p w14:paraId="566084E7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A cena recorrente da família à mesa, ou dos amigos em roda, entretidos cada um com sua tela em vez de dialogarem, pode convocar a ideia lacaniana de pulsão escópica, que nunca cessa, relacionada ao que Freud chamou de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Schaulust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“que significa ‘prazer de olhar’, no duplo sentido de ver e de ser visto” (MIJOLLA, pg. 589), e que muitos traduzem como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escopoflia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. </w:t>
      </w:r>
    </w:p>
    <w:p w14:paraId="4FD76F0E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Para cantar essa toada é necessário chamar ao palco a dupla inseparável desejo e gozo. Mas sem perder de vista a característica já indicada neste texto da temporalidade muito peculiar da tela, que interpela alucinadamente mas é destituída do poder de causar vergonha porque apenas representa os outros e por ceder espaço generoso aos desígnios do sujeito, que pode pelo menos editar sua interpelação. Assim que se encaixam essas peças, surge sobre a mesa o objeto a. Ou talvez de um enquadramento específico dele.</w:t>
      </w:r>
    </w:p>
    <w:p w14:paraId="16CC3D76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A pulsão que insiste “é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o que Lacan chama de miúdos objetos pequeno a, o que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pulula na sociedade para causar nosso desejo e tamponar a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falta de gozo, mas apenas por um instante, pois a repetição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não se detém. Tudo o que nos é permitido gozar, o é por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pedacinhos. É isto que Lacan chama - com uma expressão que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ca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pta bem o que se trata - de ‘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bocadinho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’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do gozo. Vemos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nosso mundo cultural se inundar dos substitutos do gozo que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são os </w:t>
      </w:r>
      <w:proofErr w:type="spellStart"/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nadicas</w:t>
      </w:r>
      <w:proofErr w:type="spellEnd"/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de nada. São esses bocadinhos do gozo que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conferem seu estilo próprio ao nosso modo de vida e ao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r w:rsidRPr="00804CF8">
        <w:rPr>
          <w:rStyle w:val="textexposedshow"/>
          <w:rFonts w:cstheme="minorHAnsi"/>
          <w:sz w:val="24"/>
          <w:szCs w:val="24"/>
          <w:shd w:val="clear" w:color="auto" w:fill="FFFFFF"/>
        </w:rPr>
        <w:t>nosso modo-de-gozar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” (MILLER, pg. 36). </w:t>
      </w:r>
    </w:p>
    <w:p w14:paraId="345E9562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59264" behindDoc="1" locked="0" layoutInCell="1" allowOverlap="1" wp14:anchorId="5075B6C5" wp14:editId="4EF1862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020060" cy="1810385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inet_cort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Mas no caso da tela o que é esse gozo? E como o uso gozoso da tela levaria para perto da fantasia do sujeito? É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Antonio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Quinet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que descreve uma certa “cortina da castração do outro”, que me parece explicar essas questões, embora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Quinet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se refira a um conceito, e não ao aparato da tela. Esta “cortina” cria um véu de realidade para o sujeito onde a falta do outro será escondida.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Quinet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a representa na figura ao lado.</w:t>
      </w:r>
    </w:p>
    <w:p w14:paraId="2B95AF50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</w:t>
      </w:r>
    </w:p>
    <w:p w14:paraId="28735A51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A cortina se posiciona entre o sujeito e o objeto, ocultando este e seu vazio, mas serve para que nela o sujeito projete sua fantasia, sua “encenação no psiquismo da satisfação de um desejo imperioso que não pode mais ser saciado na realidade” (NASIO, 2009). </w:t>
      </w:r>
    </w:p>
    <w:p w14:paraId="6C5CAF7D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Poderiam ser </w:t>
      </w:r>
      <w:r w:rsidR="00BE01E5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sintomas de uma nova subjetividade 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o fenômeno recente das fake </w:t>
      </w:r>
      <w:proofErr w:type="spell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news</w:t>
      </w:r>
      <w:proofErr w:type="spellEnd"/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</w:t>
      </w:r>
      <w:r w:rsidR="00BE01E5">
        <w:rPr>
          <w:rStyle w:val="textexposedshow"/>
          <w:rFonts w:cstheme="minorHAnsi"/>
          <w:sz w:val="24"/>
          <w:szCs w:val="24"/>
          <w:shd w:val="clear" w:color="auto" w:fill="FFFFFF"/>
        </w:rPr>
        <w:t>onde a novidade não é a interpelação, mas o surgi</w:t>
      </w:r>
      <w:r w:rsidR="0004388B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mento do interpelador equipado; 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ou a ampliação do desejo de ser visto por bem ou por mal</w:t>
      </w:r>
      <w:r w:rsidR="0004388B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(a ausência do olhar do outro relaxando o superego)</w:t>
      </w:r>
      <w:r>
        <w:rPr>
          <w:rStyle w:val="textexposedshow"/>
          <w:rFonts w:cstheme="minorHAnsi"/>
          <w:sz w:val="24"/>
          <w:szCs w:val="24"/>
          <w:shd w:val="clear" w:color="auto" w:fill="FFFFFF"/>
        </w:rPr>
        <w:t>, ou a vigilância pessoal uns dos outros ampliada pela tecnologia, ou a incorporação à rotina de um interlocutor eletrônico passivo/ativo?</w:t>
      </w:r>
      <w:r w:rsidR="0013064B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 Se o palco onde se encena o psiquismo está mudando rapidamente, estaria mudando também a forma de encená-lo? </w:t>
      </w:r>
    </w:p>
    <w:p w14:paraId="3AC534FD" w14:textId="77777777" w:rsidR="00717339" w:rsidRPr="00C27048" w:rsidRDefault="00045B84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N</w:t>
      </w:r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>a definição clássica de fantasia, uma realidade psíquica criada pelo sujeito para realizar desejos que o recalque não permite que venham à tona, c</w:t>
      </w:r>
      <w:r w:rsidR="00717339" w:rsidRPr="00371289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abe pensar que </w:t>
      </w:r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nessa relação com a tela há </w:t>
      </w:r>
      <w:r w:rsidR="00717339" w:rsidRPr="00371289">
        <w:rPr>
          <w:rStyle w:val="textexposedshow"/>
          <w:rFonts w:cstheme="minorHAnsi"/>
          <w:sz w:val="24"/>
          <w:szCs w:val="24"/>
          <w:shd w:val="clear" w:color="auto" w:fill="FFFFFF"/>
        </w:rPr>
        <w:t>t</w:t>
      </w:r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ipos diferentes de gozo. Se há o gozo como pequeno a da pulsão, e então será registrado nas categorias clássicas (anal, oral </w:t>
      </w:r>
      <w:proofErr w:type="spellStart"/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>etc</w:t>
      </w:r>
      <w:proofErr w:type="spellEnd"/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, ou nas lacanianas diversas); há também o gozo que se refere ao mais-gozar, o que preenche sem nunca preencher exatamente, sintonizado com outros pensadores da sociedade moderna capitalista como </w:t>
      </w:r>
      <w:proofErr w:type="spellStart"/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>Bauman</w:t>
      </w:r>
      <w:proofErr w:type="spellEnd"/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>, que a denominou “sociedade confessional”.</w:t>
      </w:r>
    </w:p>
    <w:p w14:paraId="3A8E9B03" w14:textId="77777777" w:rsidR="00717339" w:rsidRDefault="00442B72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A questão é que agora a fantasia faz-se sobre uma suposição de outro, que não olhará diretamente seus olhos. A fantasia está sujeita a um aparato comercial, como nunca esteve. </w:t>
      </w:r>
      <w:r w:rsidR="00717339">
        <w:rPr>
          <w:rStyle w:val="textexposedshow"/>
          <w:rFonts w:cstheme="minorHAnsi"/>
          <w:sz w:val="24"/>
          <w:szCs w:val="24"/>
          <w:shd w:val="clear" w:color="auto" w:fill="FFFFFF"/>
        </w:rPr>
        <w:t>O vínculo do mais-gozar com o capitalismo feito por Lacan em mais de um texto remete ao termo marxista mais-valia, inspirador do neologismo. É este também o ambiente da tela, não só o do aparato, vinculado a emblemas técnicos de poder (tamanho, definição, sensibilidade ao toque, reconhecimento facial, mutação em lanterna ou espel</w:t>
      </w:r>
      <w:r w:rsidR="00DC6D31"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ho </w:t>
      </w:r>
      <w:proofErr w:type="spellStart"/>
      <w:r w:rsidR="00DC6D31">
        <w:rPr>
          <w:rStyle w:val="textexposedshow"/>
          <w:rFonts w:cstheme="minorHAnsi"/>
          <w:sz w:val="24"/>
          <w:szCs w:val="24"/>
          <w:shd w:val="clear" w:color="auto" w:fill="FFFFFF"/>
        </w:rPr>
        <w:t>etc</w:t>
      </w:r>
      <w:proofErr w:type="spellEnd"/>
      <w:r w:rsidR="00DC6D31">
        <w:rPr>
          <w:rStyle w:val="textexposedshow"/>
          <w:rFonts w:cstheme="minorHAnsi"/>
          <w:sz w:val="24"/>
          <w:szCs w:val="24"/>
          <w:shd w:val="clear" w:color="auto" w:fill="FFFFFF"/>
        </w:rPr>
        <w:t>) mas também seu conteúdo (como se percebe pelos algoritmos do Google, por exemplo).</w:t>
      </w:r>
    </w:p>
    <w:p w14:paraId="0BDD9869" w14:textId="77777777" w:rsidR="00045B84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E aqui cabe, por deslizamento e por ter atingido o limite de espaço determinado para este trabalho, apenas considerar que a tela, por ser novidadeira em sua temporalidade e por promover uma mediação na relação com o outro, candidata-se a desafiar “a incompatibilidade entre o escópico da pulsão, em que o sujeito é visto, e o especular do eu corporal, que vê” (QUINET, 2002). </w:t>
      </w:r>
    </w:p>
    <w:p w14:paraId="4F2CB136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 xml:space="preserve">Trata-se talvez, a tela, do que a contemporaneidade oferece de mais próximo a um gozo plasmado ao seu próprio, rápido e inevitável renascer, como sempre idêntico a si próprio, mas que oferece a novidade da plástica e da maleabilidade e de um tempo sob demanda, capazes de se fazer imaginar uma eventual vida psíquica, se não </w:t>
      </w:r>
      <w:proofErr w:type="gramStart"/>
      <w:r>
        <w:rPr>
          <w:rStyle w:val="textexposedshow"/>
          <w:rFonts w:cstheme="minorHAnsi"/>
          <w:sz w:val="24"/>
          <w:szCs w:val="24"/>
          <w:shd w:val="clear" w:color="auto" w:fill="FFFFFF"/>
        </w:rPr>
        <w:t>ciborgue,  dependente</w:t>
      </w:r>
      <w:proofErr w:type="gramEnd"/>
      <w:r>
        <w:rPr>
          <w:rStyle w:val="textexposedshow"/>
          <w:rFonts w:cstheme="minorHAnsi"/>
          <w:sz w:val="24"/>
          <w:szCs w:val="24"/>
          <w:shd w:val="clear" w:color="auto" w:fill="FFFFFF"/>
        </w:rPr>
        <w:t>, interativa e referente à tecnologia.</w:t>
      </w:r>
    </w:p>
    <w:p w14:paraId="00973FE2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A clínica e a pesquisa psicanalítica, acredito, devem considerar os efeitos dessa temporalidade diversa da tela, à qual o sujeito contemporâneo já está integrado.</w:t>
      </w:r>
    </w:p>
    <w:p w14:paraId="457A7DB8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</w:p>
    <w:p w14:paraId="0735D3AA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  <w:r>
        <w:rPr>
          <w:rStyle w:val="textexposedshow"/>
          <w:rFonts w:cstheme="minorHAnsi"/>
          <w:sz w:val="24"/>
          <w:szCs w:val="24"/>
          <w:shd w:val="clear" w:color="auto" w:fill="FFFFFF"/>
        </w:rPr>
        <w:t>Referências:</w:t>
      </w:r>
    </w:p>
    <w:p w14:paraId="3705DB34" w14:textId="77777777" w:rsidR="00717339" w:rsidRDefault="00717339" w:rsidP="00717339">
      <w:r>
        <w:t>BRUNO, Fernanda. Máquinas de ver, modos de ser – vigilância, tecnologia e subjetividade. Editora Meridional, Porto Alegre, 2013.</w:t>
      </w:r>
    </w:p>
    <w:p w14:paraId="76B72770" w14:textId="77777777" w:rsidR="00717339" w:rsidRDefault="00717339" w:rsidP="00717339">
      <w:r>
        <w:t xml:space="preserve">CASE, </w:t>
      </w:r>
      <w:proofErr w:type="spellStart"/>
      <w:r>
        <w:t>Amber</w:t>
      </w:r>
      <w:proofErr w:type="spellEnd"/>
      <w:r>
        <w:t xml:space="preserve">. Entrevista: </w:t>
      </w:r>
      <w:proofErr w:type="spellStart"/>
      <w:r>
        <w:t>Amber</w:t>
      </w:r>
      <w:proofErr w:type="spellEnd"/>
      <w:r>
        <w:t xml:space="preserve"> Case. </w:t>
      </w:r>
      <w:proofErr w:type="spellStart"/>
      <w:r>
        <w:t>Amber</w:t>
      </w:r>
      <w:proofErr w:type="spellEnd"/>
      <w:r>
        <w:t xml:space="preserve"> Case é o Sócrates do mundo digital. Entrevista ao site Vice, visualizada em </w:t>
      </w:r>
      <w:hyperlink r:id="rId5" w:history="1">
        <w:r w:rsidRPr="00270A77">
          <w:rPr>
            <w:rStyle w:val="Hyperlink"/>
          </w:rPr>
          <w:t>https://www.vice.com/pt_br/article/pgepxm/amber-case</w:t>
        </w:r>
      </w:hyperlink>
      <w:r>
        <w:t xml:space="preserve"> . 2012.</w:t>
      </w:r>
    </w:p>
    <w:p w14:paraId="6B70F3D0" w14:textId="77777777" w:rsidR="00717339" w:rsidRDefault="00717339" w:rsidP="00717339">
      <w:r>
        <w:t xml:space="preserve">ECO, Umberto. Pape </w:t>
      </w:r>
      <w:proofErr w:type="spellStart"/>
      <w:r>
        <w:t>Satàn</w:t>
      </w:r>
      <w:proofErr w:type="spellEnd"/>
      <w:r>
        <w:t xml:space="preserve"> </w:t>
      </w:r>
      <w:proofErr w:type="spellStart"/>
      <w:r>
        <w:t>Aleppe</w:t>
      </w:r>
      <w:proofErr w:type="spellEnd"/>
      <w:r>
        <w:t>, crônicas de uma sociedade líquida. Editora Record, 2017.</w:t>
      </w:r>
    </w:p>
    <w:p w14:paraId="674663C7" w14:textId="77777777" w:rsidR="00717339" w:rsidRDefault="00717339" w:rsidP="00717339">
      <w:r>
        <w:t xml:space="preserve">DIAS, Cristiane. O amor na era do virtual. In Discurso e Sujeito, trama de significantes. Lauro José Siqueira Baldini e </w:t>
      </w:r>
      <w:proofErr w:type="spellStart"/>
      <w:r>
        <w:t>Kucília</w:t>
      </w:r>
      <w:proofErr w:type="spellEnd"/>
      <w:r>
        <w:t xml:space="preserve"> Maria Abrahão (</w:t>
      </w:r>
      <w:proofErr w:type="spellStart"/>
      <w:r>
        <w:t>org</w:t>
      </w:r>
      <w:proofErr w:type="spellEnd"/>
      <w:r>
        <w:t xml:space="preserve">). </w:t>
      </w:r>
      <w:proofErr w:type="spellStart"/>
      <w:r>
        <w:t>EdUFSCar</w:t>
      </w:r>
      <w:proofErr w:type="spellEnd"/>
      <w:r>
        <w:t>, 2014.</w:t>
      </w:r>
    </w:p>
    <w:p w14:paraId="126EB4D1" w14:textId="77777777" w:rsidR="00717339" w:rsidRDefault="00717339" w:rsidP="00717339">
      <w:r>
        <w:t xml:space="preserve">FERRARIS, Maurizio. </w:t>
      </w:r>
      <w:r w:rsidRPr="00A76F97">
        <w:t xml:space="preserve">Where Are </w:t>
      </w:r>
      <w:proofErr w:type="spellStart"/>
      <w:r w:rsidRPr="00A76F97">
        <w:t>You</w:t>
      </w:r>
      <w:proofErr w:type="spellEnd"/>
      <w:r w:rsidRPr="00A76F97">
        <w:t xml:space="preserve">? </w:t>
      </w:r>
      <w:proofErr w:type="spellStart"/>
      <w:r w:rsidRPr="00A76F97">
        <w:t>An</w:t>
      </w:r>
      <w:proofErr w:type="spellEnd"/>
      <w:r w:rsidRPr="00A76F97">
        <w:t xml:space="preserve"> </w:t>
      </w:r>
      <w:proofErr w:type="spellStart"/>
      <w:r w:rsidRPr="00A76F97">
        <w:t>Ontology</w:t>
      </w:r>
      <w:proofErr w:type="spellEnd"/>
      <w:r w:rsidRPr="00A76F97">
        <w:t xml:space="preserve"> </w:t>
      </w:r>
      <w:proofErr w:type="spellStart"/>
      <w:r w:rsidRPr="00A76F97">
        <w:t>of</w:t>
      </w:r>
      <w:proofErr w:type="spellEnd"/>
      <w:r w:rsidRPr="00A76F97">
        <w:t xml:space="preserve"> </w:t>
      </w:r>
      <w:proofErr w:type="spellStart"/>
      <w:r w:rsidRPr="00A76F97">
        <w:t>the</w:t>
      </w:r>
      <w:proofErr w:type="spellEnd"/>
      <w:r w:rsidRPr="00A76F97">
        <w:t xml:space="preserve"> </w:t>
      </w:r>
      <w:proofErr w:type="spellStart"/>
      <w:r w:rsidRPr="00A76F97">
        <w:t>Cell</w:t>
      </w:r>
      <w:proofErr w:type="spellEnd"/>
      <w:r w:rsidRPr="00A76F97">
        <w:t xml:space="preserve"> Phone</w:t>
      </w:r>
      <w:r>
        <w:t>.</w:t>
      </w:r>
      <w:r w:rsidRPr="00A76F97">
        <w:t xml:space="preserve"> </w:t>
      </w:r>
      <w:proofErr w:type="spellStart"/>
      <w:r w:rsidRPr="00A76F97">
        <w:t>Fordham</w:t>
      </w:r>
      <w:proofErr w:type="spellEnd"/>
      <w:r w:rsidRPr="00A76F97">
        <w:t xml:space="preserve"> </w:t>
      </w:r>
      <w:proofErr w:type="spellStart"/>
      <w:r w:rsidRPr="00A76F97">
        <w:t>University</w:t>
      </w:r>
      <w:proofErr w:type="spellEnd"/>
      <w:r w:rsidRPr="00A76F97">
        <w:t xml:space="preserve"> Press</w:t>
      </w:r>
      <w:r>
        <w:t>, 2014.</w:t>
      </w:r>
    </w:p>
    <w:p w14:paraId="3C1B8281" w14:textId="77777777" w:rsidR="00717339" w:rsidRDefault="00717339" w:rsidP="00717339">
      <w:r>
        <w:t>MIJOLLA, Alain de. Dicionário Internacional da Psicanálise. Imago. 2005.</w:t>
      </w:r>
    </w:p>
    <w:p w14:paraId="066A5AC5" w14:textId="77777777" w:rsidR="00717339" w:rsidRDefault="00717339" w:rsidP="00717339">
      <w:r>
        <w:t>MILLER, Jacques-Alain. Os seis paradigmas do gozo. Opção Lacaniana online, nova série</w:t>
      </w:r>
      <w:proofErr w:type="gramStart"/>
      <w:r>
        <w:t>, ,</w:t>
      </w:r>
      <w:proofErr w:type="gramEnd"/>
      <w:r>
        <w:t xml:space="preserve"> Ano 3, Número 7, março de 2012. Visualizado em </w:t>
      </w:r>
      <w:hyperlink r:id="rId6" w:history="1">
        <w:r w:rsidRPr="00D1141B">
          <w:rPr>
            <w:rStyle w:val="Hyperlink"/>
          </w:rPr>
          <w:t>http://opcaolacaniana.com.br/pdf/numero_7/Os_seis_paradigmas_do_gozo.pdf</w:t>
        </w:r>
      </w:hyperlink>
      <w:r>
        <w:t xml:space="preserve"> </w:t>
      </w:r>
    </w:p>
    <w:p w14:paraId="3928EB1E" w14:textId="77777777" w:rsidR="00717339" w:rsidRDefault="00717339" w:rsidP="00717339">
      <w:r>
        <w:t>NASIO, Juan David. A Fantasia. Jorge Zahar, 2009</w:t>
      </w:r>
    </w:p>
    <w:p w14:paraId="71D0B689" w14:textId="77777777" w:rsidR="00717339" w:rsidRDefault="00717339" w:rsidP="00717339">
      <w:r>
        <w:t xml:space="preserve">QUINET, </w:t>
      </w:r>
      <w:proofErr w:type="spellStart"/>
      <w:r>
        <w:t>Antonio</w:t>
      </w:r>
      <w:proofErr w:type="spellEnd"/>
      <w:r>
        <w:t xml:space="preserve">. </w:t>
      </w:r>
      <w:r w:rsidRPr="00EE208E">
        <w:t>Um Olhar a Mais: Ver e ser visto na psicanálise</w:t>
      </w:r>
      <w:r>
        <w:t>. Zahar, 2002.</w:t>
      </w:r>
    </w:p>
    <w:p w14:paraId="6EF7A166" w14:textId="77777777" w:rsidR="00001C6C" w:rsidRDefault="00001C6C" w:rsidP="00717339">
      <w:r>
        <w:t>SFEZ, Lucien. Técnica e Ideologia – Uma questão de poder. Instituto Piaget, Lisboa, 2002.</w:t>
      </w:r>
    </w:p>
    <w:p w14:paraId="2CF7BB2B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</w:p>
    <w:p w14:paraId="36D436DD" w14:textId="77777777" w:rsidR="00717339" w:rsidRDefault="00717339" w:rsidP="00717339">
      <w:pPr>
        <w:rPr>
          <w:rStyle w:val="textexposedshow"/>
          <w:rFonts w:cstheme="minorHAnsi"/>
          <w:sz w:val="24"/>
          <w:szCs w:val="24"/>
          <w:shd w:val="clear" w:color="auto" w:fill="FFFFFF"/>
        </w:rPr>
      </w:pPr>
    </w:p>
    <w:p w14:paraId="064998C0" w14:textId="77777777" w:rsidR="003211AB" w:rsidRDefault="003211AB"/>
    <w:sectPr w:rsidR="00321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39"/>
    <w:rsid w:val="00001C6C"/>
    <w:rsid w:val="0004388B"/>
    <w:rsid w:val="00045B84"/>
    <w:rsid w:val="0013064B"/>
    <w:rsid w:val="003211AB"/>
    <w:rsid w:val="00442B72"/>
    <w:rsid w:val="004B5A96"/>
    <w:rsid w:val="00717339"/>
    <w:rsid w:val="00BE01E5"/>
    <w:rsid w:val="00DC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30BE"/>
  <w15:chartTrackingRefBased/>
  <w15:docId w15:val="{AE864216-F0CB-49F8-A0CA-858F76BA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7339"/>
    <w:rPr>
      <w:color w:val="0000FF"/>
      <w:u w:val="single"/>
    </w:rPr>
  </w:style>
  <w:style w:type="character" w:customStyle="1" w:styleId="textexposedshow">
    <w:name w:val="text_exposed_show"/>
    <w:basedOn w:val="Fontepargpadro"/>
    <w:rsid w:val="0071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caolacaniana.com.br/pdf/numero_7/Os_seis_paradigmas_do_gozo.pdf" TargetMode="External"/><Relationship Id="rId5" Type="http://schemas.openxmlformats.org/officeDocument/2006/relationships/hyperlink" Target="https://www.vice.com/pt_br/article/pgepxm/amber-ca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Fábio Sanchez</cp:lastModifiedBy>
  <cp:revision>2</cp:revision>
  <dcterms:created xsi:type="dcterms:W3CDTF">2021-01-29T15:44:00Z</dcterms:created>
  <dcterms:modified xsi:type="dcterms:W3CDTF">2021-01-29T15:44:00Z</dcterms:modified>
</cp:coreProperties>
</file>